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F66" w:rsidRDefault="00A62F66" w:rsidP="00A62F66">
      <w:pPr>
        <w:rPr>
          <w:rFonts w:ascii="Arial" w:hAnsi="Arial" w:cs="Arial"/>
          <w:sz w:val="20"/>
          <w:szCs w:val="20"/>
        </w:rPr>
      </w:pPr>
      <w:bookmarkStart w:id="0" w:name="_GoBack"/>
      <w:bookmarkEnd w:id="0"/>
      <w:r>
        <w:rPr>
          <w:rFonts w:ascii="Arial" w:hAnsi="Arial" w:cs="Arial"/>
          <w:noProof/>
          <w:sz w:val="20"/>
          <w:szCs w:val="20"/>
          <w:lang w:eastAsia="pl-PL"/>
        </w:rPr>
        <w:drawing>
          <wp:inline distT="0" distB="0" distL="0" distR="0">
            <wp:extent cx="3333750" cy="1400175"/>
            <wp:effectExtent l="0" t="0" r="0" b="9525"/>
            <wp:docPr id="1" name="Obraz 1" descr="cid:image001.png@01CEE6B2.544F8D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EE6B2.544F8DB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333750" cy="1400175"/>
                    </a:xfrm>
                    <a:prstGeom prst="rect">
                      <a:avLst/>
                    </a:prstGeom>
                    <a:noFill/>
                    <a:ln>
                      <a:noFill/>
                    </a:ln>
                  </pic:spPr>
                </pic:pic>
              </a:graphicData>
            </a:graphic>
          </wp:inline>
        </w:drawing>
      </w:r>
    </w:p>
    <w:p w:rsidR="00A62F66" w:rsidRDefault="00A62F66" w:rsidP="00A62F66">
      <w:pPr>
        <w:rPr>
          <w:rFonts w:ascii="Arial" w:hAnsi="Arial" w:cs="Arial"/>
          <w:sz w:val="20"/>
          <w:szCs w:val="20"/>
        </w:rPr>
      </w:pPr>
      <w:r>
        <w:rPr>
          <w:rFonts w:ascii="Arial" w:hAnsi="Arial" w:cs="Arial"/>
          <w:sz w:val="20"/>
          <w:szCs w:val="20"/>
        </w:rPr>
        <w:t>Parlament Europejski, Strasburg</w:t>
      </w:r>
    </w:p>
    <w:p w:rsidR="00A62F66" w:rsidRDefault="00A62F66" w:rsidP="00A62F66">
      <w:pPr>
        <w:rPr>
          <w:rFonts w:ascii="Arial" w:hAnsi="Arial" w:cs="Arial"/>
          <w:sz w:val="20"/>
          <w:szCs w:val="20"/>
        </w:rPr>
      </w:pPr>
      <w:r>
        <w:rPr>
          <w:rFonts w:ascii="Arial" w:hAnsi="Arial" w:cs="Arial"/>
          <w:sz w:val="20"/>
          <w:szCs w:val="20"/>
        </w:rPr>
        <w:t>21 listopada 2013</w:t>
      </w:r>
    </w:p>
    <w:p w:rsidR="00A62F66" w:rsidRDefault="00A62F66" w:rsidP="00A62F66">
      <w:pPr>
        <w:rPr>
          <w:rFonts w:ascii="Arial" w:hAnsi="Arial" w:cs="Arial"/>
          <w:sz w:val="20"/>
          <w:szCs w:val="20"/>
        </w:rPr>
      </w:pPr>
    </w:p>
    <w:p w:rsidR="00A62F66" w:rsidRDefault="00A62F66" w:rsidP="00A62F66">
      <w:pPr>
        <w:jc w:val="center"/>
        <w:rPr>
          <w:rFonts w:ascii="Arial" w:hAnsi="Arial" w:cs="Arial"/>
          <w:sz w:val="20"/>
          <w:szCs w:val="20"/>
        </w:rPr>
      </w:pPr>
      <w:r>
        <w:rPr>
          <w:rFonts w:ascii="Arial" w:hAnsi="Arial" w:cs="Arial"/>
          <w:b/>
          <w:bCs/>
          <w:sz w:val="32"/>
          <w:szCs w:val="32"/>
        </w:rPr>
        <w:t>Nowy Horyzont dla innowacji</w:t>
      </w:r>
    </w:p>
    <w:p w:rsidR="00A62F66" w:rsidRDefault="00A62F66" w:rsidP="00A62F66">
      <w:pPr>
        <w:jc w:val="center"/>
        <w:rPr>
          <w:rFonts w:ascii="Arial" w:hAnsi="Arial" w:cs="Arial"/>
          <w:i/>
          <w:iCs/>
          <w:sz w:val="20"/>
          <w:szCs w:val="20"/>
        </w:rPr>
      </w:pPr>
    </w:p>
    <w:p w:rsidR="00A62F66" w:rsidRDefault="00A62F66" w:rsidP="00A62F66">
      <w:pPr>
        <w:jc w:val="center"/>
        <w:rPr>
          <w:rFonts w:ascii="Arial" w:hAnsi="Arial" w:cs="Arial"/>
          <w:i/>
          <w:iCs/>
          <w:sz w:val="20"/>
          <w:szCs w:val="20"/>
        </w:rPr>
      </w:pPr>
      <w:r>
        <w:rPr>
          <w:rFonts w:ascii="Arial" w:hAnsi="Arial" w:cs="Arial"/>
          <w:i/>
          <w:iCs/>
          <w:sz w:val="20"/>
          <w:szCs w:val="20"/>
        </w:rPr>
        <w:t>Prof. Jerzy Buzek, Piotr Borys, Bogdan Marcinkiewicz oraz Jolanta Hibner</w:t>
      </w:r>
    </w:p>
    <w:p w:rsidR="00A62F66" w:rsidRDefault="00A62F66" w:rsidP="00A62F66">
      <w:pPr>
        <w:jc w:val="center"/>
        <w:rPr>
          <w:rFonts w:ascii="Arial" w:hAnsi="Arial" w:cs="Arial"/>
          <w:i/>
          <w:iCs/>
          <w:sz w:val="20"/>
          <w:szCs w:val="20"/>
        </w:rPr>
      </w:pPr>
      <w:r>
        <w:rPr>
          <w:rFonts w:ascii="Arial" w:hAnsi="Arial" w:cs="Arial"/>
          <w:i/>
          <w:iCs/>
          <w:sz w:val="20"/>
          <w:szCs w:val="20"/>
        </w:rPr>
        <w:t>Klub PO-PSL w Parlamencie Europejskim*</w:t>
      </w:r>
    </w:p>
    <w:p w:rsidR="00A62F66" w:rsidRDefault="00A62F66" w:rsidP="00A62F66">
      <w:pPr>
        <w:rPr>
          <w:rFonts w:ascii="Arial" w:hAnsi="Arial" w:cs="Arial"/>
          <w:b/>
          <w:bCs/>
          <w:sz w:val="20"/>
          <w:szCs w:val="20"/>
        </w:rPr>
      </w:pPr>
    </w:p>
    <w:p w:rsidR="00A62F66" w:rsidRDefault="00A62F66" w:rsidP="00A62F66">
      <w:pPr>
        <w:rPr>
          <w:rFonts w:ascii="Arial" w:hAnsi="Arial" w:cs="Arial"/>
          <w:b/>
          <w:bCs/>
          <w:sz w:val="20"/>
          <w:szCs w:val="20"/>
        </w:rPr>
      </w:pPr>
      <w:r>
        <w:rPr>
          <w:rFonts w:ascii="Arial" w:hAnsi="Arial" w:cs="Arial"/>
          <w:b/>
          <w:bCs/>
          <w:sz w:val="20"/>
          <w:szCs w:val="20"/>
        </w:rPr>
        <w:t>Europosłowie przyjęli dzisiaj kolejny program ramowy UE dotyczący badań i innowacji, na lata 2014-2020. Siedmioletni budżet wyniesie ponad 70 miliardów euro. Tak zwany Horyzont 2020 zastąpi Siódmy Program Ramowy, którego sprawozdawcą był były przewodniczący PE Jerzy Buzek. Jest to największy na świecie program wspierający badania i rozwój.</w:t>
      </w:r>
    </w:p>
    <w:p w:rsidR="00A62F66" w:rsidRDefault="00A62F66" w:rsidP="00A62F66">
      <w:pPr>
        <w:rPr>
          <w:rFonts w:ascii="Arial" w:hAnsi="Arial" w:cs="Arial"/>
          <w:sz w:val="20"/>
          <w:szCs w:val="20"/>
        </w:rPr>
      </w:pPr>
    </w:p>
    <w:p w:rsidR="00A62F66" w:rsidRDefault="00A62F66" w:rsidP="00A62F66">
      <w:pPr>
        <w:rPr>
          <w:rFonts w:ascii="Arial" w:hAnsi="Arial" w:cs="Arial"/>
          <w:sz w:val="20"/>
          <w:szCs w:val="20"/>
        </w:rPr>
      </w:pPr>
      <w:r>
        <w:rPr>
          <w:rFonts w:ascii="Arial" w:hAnsi="Arial" w:cs="Arial"/>
          <w:sz w:val="20"/>
          <w:szCs w:val="20"/>
        </w:rPr>
        <w:t xml:space="preserve">- Polska dobrze wykorzystuje pieniądze na drogi, małe i średnie przedsiębiorstwa czy rolnictwo, przyznane nam do dyspozycji przez instytucje europejskie. Gorzej idzie nam z funduszami na projekty badań, technologii i innowacji, które trzeba pozyskiwać wprost z Brukseli. 23. miejsce w innowacyjności nie zadowala nas; mamy szansę to zmienić w programie Horyzont 2020. Instytucje naukowe powinny decydować się na takie badania stosowane, które zamawia przemysł i których wyniki muszą być wdrażane. Na to powinna pójść lwia część środków na naukę. To jest szansa na konkurencyjność gospodarki – zwłaszcza, jeśli sfinansujemy badania czystych technologii wykorzystywania polskiego węgla, zapewniając możliwie niskie ceny energii – skomentował </w:t>
      </w:r>
      <w:r>
        <w:rPr>
          <w:rFonts w:ascii="Arial" w:hAnsi="Arial" w:cs="Arial"/>
          <w:b/>
          <w:bCs/>
          <w:sz w:val="20"/>
          <w:szCs w:val="20"/>
        </w:rPr>
        <w:t>Jerzy Buzek</w:t>
      </w:r>
      <w:r>
        <w:rPr>
          <w:rFonts w:ascii="Arial" w:hAnsi="Arial" w:cs="Arial"/>
          <w:sz w:val="20"/>
          <w:szCs w:val="20"/>
        </w:rPr>
        <w:t>, sprawozdawca poprzedniego programu ramowego dotyczącego badań i innowacji.</w:t>
      </w:r>
    </w:p>
    <w:p w:rsidR="00A62F66" w:rsidRDefault="00A62F66" w:rsidP="00A62F66">
      <w:pPr>
        <w:rPr>
          <w:rFonts w:ascii="Arial" w:hAnsi="Arial" w:cs="Arial"/>
          <w:sz w:val="20"/>
          <w:szCs w:val="20"/>
        </w:rPr>
      </w:pPr>
    </w:p>
    <w:p w:rsidR="00A62F66" w:rsidRDefault="00A62F66" w:rsidP="00A62F66">
      <w:pPr>
        <w:rPr>
          <w:rFonts w:ascii="Arial" w:hAnsi="Arial" w:cs="Arial"/>
          <w:sz w:val="20"/>
          <w:szCs w:val="20"/>
        </w:rPr>
      </w:pPr>
      <w:r>
        <w:rPr>
          <w:rFonts w:ascii="Arial" w:hAnsi="Arial" w:cs="Arial"/>
          <w:sz w:val="20"/>
          <w:szCs w:val="20"/>
        </w:rPr>
        <w:t xml:space="preserve">- Horyzont 2020 jest najważniejszym wyzwaniem dla innowacyjnych projektów polskich uczelni, przemysłu oraz szansą dla tysięcy polskich naukowców w finansowaniu badań powiązanych z gospodarką. Wymusza współpracę wielu partnerów na poziomie europejskim. Dzięki Horyzontowi 2020 możemy umiędzynarodowić badania i projekty oraz wpłynąć na konkurencyjność naszej gospodarki – powiedział </w:t>
      </w:r>
      <w:r>
        <w:rPr>
          <w:rFonts w:ascii="Arial" w:hAnsi="Arial" w:cs="Arial"/>
          <w:b/>
          <w:bCs/>
          <w:sz w:val="20"/>
          <w:szCs w:val="20"/>
        </w:rPr>
        <w:t>Piotr Borys</w:t>
      </w:r>
      <w:r>
        <w:rPr>
          <w:rFonts w:ascii="Arial" w:hAnsi="Arial" w:cs="Arial"/>
          <w:sz w:val="20"/>
          <w:szCs w:val="20"/>
        </w:rPr>
        <w:t xml:space="preserve"> (PO), opiniodawca do raportu w komisji prawnej PE.</w:t>
      </w:r>
    </w:p>
    <w:p w:rsidR="00A62F66" w:rsidRDefault="00A62F66" w:rsidP="00A62F66">
      <w:pPr>
        <w:rPr>
          <w:rFonts w:ascii="Arial" w:hAnsi="Arial" w:cs="Arial"/>
          <w:sz w:val="20"/>
          <w:szCs w:val="20"/>
        </w:rPr>
      </w:pPr>
    </w:p>
    <w:p w:rsidR="00A62F66" w:rsidRDefault="00A62F66" w:rsidP="00A62F66">
      <w:pPr>
        <w:rPr>
          <w:rFonts w:ascii="Arial" w:hAnsi="Arial" w:cs="Arial"/>
          <w:sz w:val="20"/>
          <w:szCs w:val="20"/>
        </w:rPr>
      </w:pPr>
      <w:r>
        <w:rPr>
          <w:rFonts w:ascii="Arial" w:hAnsi="Arial" w:cs="Arial"/>
          <w:sz w:val="20"/>
          <w:szCs w:val="20"/>
        </w:rPr>
        <w:t xml:space="preserve">- Dzisiejsza decyzja Parlamentu Europejskiego jest de facto zagwarantowaniem finansowania na poziomie 0,8% (600mln euro) dla większej elastyczność i wydajność elektrowni konwencjonalnych oraz systemów magazynowania energii. W ramach Programu Ramowego Horyzont 2020 zostały przewidziane fundusze dla dalszego rozwoju i finansowania technologii wychwytywania i magazynowania CO2 w Europie (CCS), jak i rozwiązań i usług efektywności i oszczędności energetycznej – powiedział </w:t>
      </w:r>
      <w:r>
        <w:rPr>
          <w:rFonts w:ascii="Arial" w:hAnsi="Arial" w:cs="Arial"/>
          <w:b/>
          <w:bCs/>
          <w:sz w:val="20"/>
          <w:szCs w:val="20"/>
        </w:rPr>
        <w:t>Bogdan Marcinkiewicz</w:t>
      </w:r>
      <w:r>
        <w:rPr>
          <w:rFonts w:ascii="Arial" w:hAnsi="Arial" w:cs="Arial"/>
          <w:sz w:val="20"/>
          <w:szCs w:val="20"/>
        </w:rPr>
        <w:t xml:space="preserve"> (PO), członek komisji przemysłu, badań i energii.</w:t>
      </w:r>
    </w:p>
    <w:p w:rsidR="00A62F66" w:rsidRDefault="00A62F66" w:rsidP="00A62F66">
      <w:pPr>
        <w:rPr>
          <w:rFonts w:ascii="Arial" w:hAnsi="Arial" w:cs="Arial"/>
          <w:sz w:val="20"/>
          <w:szCs w:val="20"/>
        </w:rPr>
      </w:pPr>
    </w:p>
    <w:p w:rsidR="00A62F66" w:rsidRDefault="00A62F66" w:rsidP="00A62F66">
      <w:pPr>
        <w:rPr>
          <w:rFonts w:ascii="Arial" w:hAnsi="Arial" w:cs="Arial"/>
          <w:sz w:val="20"/>
          <w:szCs w:val="20"/>
        </w:rPr>
      </w:pPr>
      <w:r>
        <w:rPr>
          <w:rFonts w:ascii="Arial" w:hAnsi="Arial" w:cs="Arial"/>
          <w:sz w:val="20"/>
          <w:szCs w:val="20"/>
        </w:rPr>
        <w:t xml:space="preserve">- Przyjęty dziś program z pewnością przyczyni się do zwiększenia konkurencyjności i zatrudnienia w Europie. Jego zaletą jest duża elastyczność oraz znaczne uproszczenia formalne, mające uczynić proces aplikacyjny prostszym i przejrzystym. Nie bez znaczenia jest również fakt, że w sposób niezwykle przemyślany i umiejętny łączy on ze sobą środowisko naukowe z przemysłem. Ma się to odbywać poprzez merytoryczne wsparcie przedsiębiorców ze szczególnym uwzględnieniem firm z sektora MŚP, które będą w stanie wytworzyć innowacyjne produkty bazujące na technologii przyszłości o dużym potencjale komercyjnym – skomentowała wynik głosowania </w:t>
      </w:r>
      <w:r>
        <w:rPr>
          <w:rFonts w:ascii="Arial" w:hAnsi="Arial" w:cs="Arial"/>
          <w:b/>
          <w:bCs/>
          <w:sz w:val="20"/>
          <w:szCs w:val="20"/>
        </w:rPr>
        <w:t>Jolanta Hibner</w:t>
      </w:r>
      <w:r>
        <w:rPr>
          <w:rFonts w:ascii="Arial" w:hAnsi="Arial" w:cs="Arial"/>
          <w:sz w:val="20"/>
          <w:szCs w:val="20"/>
        </w:rPr>
        <w:t xml:space="preserve"> (PO), członek komisji przemysłu, badań i energii.</w:t>
      </w:r>
    </w:p>
    <w:p w:rsidR="00A62F66" w:rsidRDefault="00A62F66" w:rsidP="00A62F66">
      <w:pPr>
        <w:rPr>
          <w:rFonts w:ascii="Arial" w:hAnsi="Arial" w:cs="Arial"/>
          <w:sz w:val="20"/>
          <w:szCs w:val="20"/>
          <w:lang w:eastAsia="en-GB"/>
        </w:rPr>
      </w:pPr>
    </w:p>
    <w:p w:rsidR="00A62F66" w:rsidRDefault="00A62F66" w:rsidP="00A62F66">
      <w:pPr>
        <w:rPr>
          <w:rFonts w:ascii="Arial" w:hAnsi="Arial" w:cs="Arial"/>
          <w:i/>
          <w:iCs/>
          <w:color w:val="000000"/>
          <w:sz w:val="18"/>
          <w:szCs w:val="18"/>
        </w:rPr>
      </w:pPr>
      <w:r>
        <w:rPr>
          <w:rFonts w:ascii="Arial" w:hAnsi="Arial" w:cs="Arial"/>
          <w:i/>
          <w:iCs/>
          <w:color w:val="000000"/>
          <w:sz w:val="20"/>
          <w:szCs w:val="20"/>
        </w:rPr>
        <w:t>* Grupa</w:t>
      </w:r>
      <w:r>
        <w:rPr>
          <w:rFonts w:ascii="Arial" w:hAnsi="Arial" w:cs="Arial"/>
          <w:i/>
          <w:iCs/>
          <w:color w:val="000000"/>
          <w:sz w:val="18"/>
          <w:szCs w:val="18"/>
        </w:rPr>
        <w:t xml:space="preserve"> Europejskiej Partii Ludowej (EPL), do której należą Platforma Obywatelska i Polskie Stronnictwo Ludowe, jest największą i najbardziej wpływową grupą polityczną w Parlamencie Europejskim skupiającą 275 posłów z 27 państw członkowskich UE.</w:t>
      </w:r>
    </w:p>
    <w:p w:rsidR="00A62F66" w:rsidRDefault="00A62F66" w:rsidP="00A62F66">
      <w:pPr>
        <w:rPr>
          <w:rFonts w:ascii="Arial" w:hAnsi="Arial" w:cs="Arial"/>
          <w:color w:val="0000FF"/>
          <w:sz w:val="18"/>
          <w:szCs w:val="18"/>
          <w:u w:val="single"/>
        </w:rPr>
      </w:pPr>
    </w:p>
    <w:p w:rsidR="00A62F66" w:rsidRDefault="00A62F66" w:rsidP="00A62F66">
      <w:pPr>
        <w:rPr>
          <w:rFonts w:ascii="Arial" w:hAnsi="Arial" w:cs="Arial"/>
          <w:color w:val="000000"/>
          <w:sz w:val="18"/>
          <w:szCs w:val="18"/>
        </w:rPr>
      </w:pPr>
      <w:r>
        <w:rPr>
          <w:rFonts w:ascii="Arial" w:hAnsi="Arial" w:cs="Arial"/>
          <w:color w:val="000000"/>
          <w:sz w:val="18"/>
          <w:szCs w:val="18"/>
          <w:u w:val="single"/>
        </w:rPr>
        <w:t>Dalszych informacji udziela:</w:t>
      </w:r>
    </w:p>
    <w:p w:rsidR="00A62F66" w:rsidRDefault="00A62F66" w:rsidP="00A62F66">
      <w:pPr>
        <w:rPr>
          <w:rFonts w:ascii="Arial" w:hAnsi="Arial" w:cs="Arial"/>
          <w:color w:val="000000"/>
          <w:sz w:val="18"/>
          <w:szCs w:val="18"/>
        </w:rPr>
      </w:pPr>
      <w:r>
        <w:rPr>
          <w:rFonts w:ascii="Arial" w:hAnsi="Arial" w:cs="Arial"/>
          <w:color w:val="000000"/>
          <w:sz w:val="18"/>
          <w:szCs w:val="18"/>
        </w:rPr>
        <w:t>Katarzyna Klaus</w:t>
      </w:r>
    </w:p>
    <w:p w:rsidR="00A62F66" w:rsidRDefault="00A62F66" w:rsidP="00A62F66">
      <w:pPr>
        <w:rPr>
          <w:rFonts w:ascii="Arial" w:hAnsi="Arial" w:cs="Arial"/>
          <w:color w:val="000000"/>
          <w:sz w:val="18"/>
          <w:szCs w:val="18"/>
        </w:rPr>
      </w:pPr>
      <w:r>
        <w:rPr>
          <w:rFonts w:ascii="Arial" w:hAnsi="Arial" w:cs="Arial"/>
          <w:color w:val="000000"/>
          <w:sz w:val="18"/>
          <w:szCs w:val="18"/>
        </w:rPr>
        <w:lastRenderedPageBreak/>
        <w:t>Biuro Prasowe EPL</w:t>
      </w:r>
    </w:p>
    <w:p w:rsidR="00A62F66" w:rsidRDefault="00A62F66" w:rsidP="00A62F66">
      <w:pPr>
        <w:rPr>
          <w:rFonts w:ascii="Arial" w:hAnsi="Arial" w:cs="Arial"/>
          <w:color w:val="000000"/>
          <w:sz w:val="18"/>
          <w:szCs w:val="18"/>
        </w:rPr>
      </w:pPr>
      <w:r>
        <w:rPr>
          <w:rFonts w:ascii="Arial" w:hAnsi="Arial" w:cs="Arial"/>
          <w:color w:val="000000"/>
          <w:sz w:val="18"/>
          <w:szCs w:val="18"/>
        </w:rPr>
        <w:t>+32 484 138359</w:t>
      </w:r>
    </w:p>
    <w:p w:rsidR="00A62F66" w:rsidRDefault="00A62F66" w:rsidP="00A62F66">
      <w:pPr>
        <w:rPr>
          <w:lang w:val="en-GB"/>
        </w:rPr>
      </w:pPr>
    </w:p>
    <w:p w:rsidR="001A45AA" w:rsidRDefault="001A45AA"/>
    <w:sectPr w:rsidR="001A45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F66"/>
    <w:rsid w:val="001A45AA"/>
    <w:rsid w:val="00A62F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2F66"/>
    <w:pPr>
      <w:spacing w:after="0" w:line="240" w:lineRule="auto"/>
    </w:pPr>
    <w:rPr>
      <w:rFonts w:ascii="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62F66"/>
    <w:rPr>
      <w:rFonts w:ascii="Tahoma" w:hAnsi="Tahoma" w:cs="Tahoma"/>
      <w:sz w:val="16"/>
      <w:szCs w:val="16"/>
    </w:rPr>
  </w:style>
  <w:style w:type="character" w:customStyle="1" w:styleId="TekstdymkaZnak">
    <w:name w:val="Tekst dymka Znak"/>
    <w:basedOn w:val="Domylnaczcionkaakapitu"/>
    <w:link w:val="Tekstdymka"/>
    <w:uiPriority w:val="99"/>
    <w:semiHidden/>
    <w:rsid w:val="00A62F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2F66"/>
    <w:pPr>
      <w:spacing w:after="0" w:line="240" w:lineRule="auto"/>
    </w:pPr>
    <w:rPr>
      <w:rFonts w:ascii="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62F66"/>
    <w:rPr>
      <w:rFonts w:ascii="Tahoma" w:hAnsi="Tahoma" w:cs="Tahoma"/>
      <w:sz w:val="16"/>
      <w:szCs w:val="16"/>
    </w:rPr>
  </w:style>
  <w:style w:type="character" w:customStyle="1" w:styleId="TekstdymkaZnak">
    <w:name w:val="Tekst dymka Znak"/>
    <w:basedOn w:val="Domylnaczcionkaakapitu"/>
    <w:link w:val="Tekstdymka"/>
    <w:uiPriority w:val="99"/>
    <w:semiHidden/>
    <w:rsid w:val="00A62F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87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png@01CEE6B2.544F8DB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483</Words>
  <Characters>2904</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dc:creator>
  <cp:lastModifiedBy>Sebastian</cp:lastModifiedBy>
  <cp:revision>1</cp:revision>
  <dcterms:created xsi:type="dcterms:W3CDTF">2014-02-05T13:44:00Z</dcterms:created>
  <dcterms:modified xsi:type="dcterms:W3CDTF">2014-02-05T13:46:00Z</dcterms:modified>
</cp:coreProperties>
</file>